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Default="008C6244" w:rsidP="00FA150F">
      <w:pPr>
        <w:pStyle w:val="berschrift4"/>
        <w:ind w:left="142"/>
        <w:rPr>
          <w:rFonts w:ascii="Verdana" w:eastAsia="Times New Roman" w:hAnsi="Verdana" w:cs="Arial"/>
          <w:b/>
          <w:i w:val="0"/>
          <w:iCs w:val="0"/>
          <w:color w:val="auto"/>
          <w:sz w:val="24"/>
          <w:szCs w:val="24"/>
        </w:rPr>
      </w:pPr>
    </w:p>
    <w:p w14:paraId="49CEF20E" w14:textId="77777777" w:rsidR="008C6244" w:rsidRDefault="008C6244" w:rsidP="00FA150F">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FA150F">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FA150F">
      <w:pPr>
        <w:tabs>
          <w:tab w:val="left" w:pos="6237"/>
        </w:tabs>
        <w:spacing w:after="0"/>
        <w:ind w:left="142" w:right="1132"/>
        <w:rPr>
          <w:rFonts w:ascii="Verdana" w:eastAsia="Times New Roman" w:hAnsi="Verdana" w:cs="Arial"/>
          <w:b/>
          <w:sz w:val="28"/>
          <w:szCs w:val="28"/>
        </w:rPr>
      </w:pPr>
    </w:p>
    <w:p w14:paraId="106E87FF" w14:textId="57B4BBA8" w:rsidR="002C7679" w:rsidRPr="002C7679" w:rsidRDefault="00FA150F" w:rsidP="00FA150F">
      <w:pPr>
        <w:tabs>
          <w:tab w:val="left" w:pos="6237"/>
        </w:tabs>
        <w:spacing w:after="0"/>
        <w:ind w:left="142" w:right="1132"/>
        <w:rPr>
          <w:rFonts w:ascii="Verdana" w:hAnsi="Verdana" w:cs="Arial"/>
          <w:b/>
          <w:sz w:val="20"/>
          <w:szCs w:val="20"/>
        </w:rPr>
      </w:pPr>
      <w:r w:rsidRPr="00FA150F">
        <w:rPr>
          <w:rFonts w:ascii="Verdana" w:hAnsi="Verdana" w:cs="Arial"/>
          <w:b/>
          <w:sz w:val="20"/>
          <w:szCs w:val="20"/>
        </w:rPr>
        <w:t>Plastik im Meer</w:t>
      </w:r>
    </w:p>
    <w:p w14:paraId="2999B79F" w14:textId="53D42EC9" w:rsidR="002C7679" w:rsidRPr="002C7679" w:rsidRDefault="00FA150F" w:rsidP="00FA150F">
      <w:pPr>
        <w:tabs>
          <w:tab w:val="left" w:pos="6237"/>
        </w:tabs>
        <w:spacing w:after="0"/>
        <w:ind w:left="142" w:right="1132"/>
        <w:rPr>
          <w:rFonts w:ascii="Verdana" w:eastAsia="Times New Roman" w:hAnsi="Verdana" w:cs="Arial"/>
          <w:b/>
          <w:sz w:val="24"/>
          <w:szCs w:val="24"/>
        </w:rPr>
      </w:pPr>
      <w:r w:rsidRPr="00FA150F">
        <w:rPr>
          <w:rFonts w:ascii="Verdana" w:eastAsia="Times New Roman" w:hAnsi="Verdana" w:cs="Arial"/>
          <w:b/>
          <w:sz w:val="24"/>
          <w:szCs w:val="24"/>
        </w:rPr>
        <w:t>Von Flüssen und Fischerbooten</w:t>
      </w:r>
    </w:p>
    <w:p w14:paraId="7C90360F" w14:textId="77777777" w:rsidR="005264A6" w:rsidRPr="002C7679" w:rsidRDefault="005264A6" w:rsidP="00FA150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207DDB" w14:paraId="6801B49D" w14:textId="77777777" w:rsidTr="00023E38">
        <w:tc>
          <w:tcPr>
            <w:tcW w:w="7230" w:type="dxa"/>
          </w:tcPr>
          <w:p w14:paraId="39011C97" w14:textId="42F40862" w:rsidR="002C7679" w:rsidRPr="00D703E1" w:rsidRDefault="00FA150F" w:rsidP="00FA150F">
            <w:pPr>
              <w:spacing w:line="276" w:lineRule="auto"/>
              <w:ind w:right="179"/>
              <w:rPr>
                <w:rFonts w:ascii="Verdana" w:eastAsiaTheme="minorHAnsi" w:hAnsi="Verdana"/>
                <w:b/>
                <w:sz w:val="20"/>
                <w:szCs w:val="20"/>
                <w:lang w:eastAsia="en-US"/>
              </w:rPr>
            </w:pPr>
            <w:r w:rsidRPr="00FA150F">
              <w:rPr>
                <w:rFonts w:ascii="Verdana" w:eastAsiaTheme="minorHAnsi" w:hAnsi="Verdana"/>
                <w:b/>
                <w:sz w:val="20"/>
                <w:szCs w:val="20"/>
                <w:lang w:eastAsia="en-US"/>
              </w:rPr>
              <w:t>Eine Menge Müll treibt in unseren Ozeanen. 75 Prozent davon sind aus Plastik und haben zwei Ursachen: So tragen Flüsse, genauer gesagt 10 an der Zahl, Kunststoffabfälle vom Land in die Meere - eine Erkenntnis, aus der sich gezielt Gegenmaßnahmen entwickeln lassen. Der Großteil des Plastiks hingegen stammt aus verloren gegangener Fangausrüstung der kommerziellen Fischerei, was bisher kaum ins öffentliche Bewusstsein drang. Hier gestaltet sich ein Vorgehen auch deutlich schwieriger</w:t>
            </w:r>
            <w:r w:rsidR="00D703E1" w:rsidRPr="00D703E1">
              <w:rPr>
                <w:rFonts w:ascii="Verdana" w:eastAsiaTheme="minorHAnsi" w:hAnsi="Verdana"/>
                <w:b/>
                <w:sz w:val="20"/>
                <w:szCs w:val="20"/>
                <w:lang w:eastAsia="en-US"/>
              </w:rPr>
              <w:t>.</w:t>
            </w:r>
          </w:p>
          <w:p w14:paraId="58E3B957" w14:textId="77777777" w:rsidR="002C7679" w:rsidRPr="00D703E1" w:rsidRDefault="002C7679" w:rsidP="00FA150F">
            <w:pPr>
              <w:spacing w:line="276" w:lineRule="auto"/>
              <w:ind w:right="179"/>
              <w:rPr>
                <w:rFonts w:ascii="Verdana" w:eastAsiaTheme="minorHAnsi" w:hAnsi="Verdana"/>
                <w:b/>
                <w:sz w:val="20"/>
                <w:szCs w:val="20"/>
                <w:lang w:eastAsia="en-US"/>
              </w:rPr>
            </w:pPr>
          </w:p>
          <w:p w14:paraId="2B9B2806" w14:textId="77777777" w:rsidR="00FA150F" w:rsidRPr="00FA150F" w:rsidRDefault="00FA150F" w:rsidP="00FA150F">
            <w:pPr>
              <w:spacing w:line="276" w:lineRule="auto"/>
              <w:ind w:right="179"/>
              <w:rPr>
                <w:rFonts w:ascii="Verdana" w:eastAsiaTheme="minorHAnsi" w:hAnsi="Verdana"/>
                <w:b/>
                <w:bCs/>
                <w:sz w:val="20"/>
                <w:szCs w:val="20"/>
                <w:lang w:eastAsia="en-US"/>
              </w:rPr>
            </w:pPr>
            <w:r w:rsidRPr="00FA150F">
              <w:rPr>
                <w:rFonts w:ascii="Verdana" w:eastAsiaTheme="minorHAnsi" w:hAnsi="Verdana"/>
                <w:b/>
                <w:bCs/>
                <w:sz w:val="20"/>
                <w:szCs w:val="20"/>
                <w:lang w:eastAsia="en-US"/>
              </w:rPr>
              <w:t>Professioneller Fischfang – die Hauptquelle des Plastikmülls</w:t>
            </w:r>
          </w:p>
          <w:p w14:paraId="7A5B2E8A"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Auch Fischer schätzen die positiven Eigenschaften von Plastik, </w:t>
            </w:r>
          </w:p>
          <w:p w14:paraId="17156576"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vor allem das leichte Handling sowie die höhere Haltbarkeit und Zuverlässigkeit gegenüber natürlichen Materialien. Auf Fang </w:t>
            </w:r>
          </w:p>
          <w:p w14:paraId="2AE22720"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in den Ozeanen gehen täglich rund 4,6 Millionen Fischerboote. </w:t>
            </w:r>
          </w:p>
          <w:p w14:paraId="4103C680"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Was auch zu Materialverlusten führt: Der WWF schätzt, dass </w:t>
            </w:r>
          </w:p>
          <w:p w14:paraId="48E2E81A" w14:textId="7A151B0C"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40 % - 50 %</w:t>
            </w:r>
            <w:r>
              <w:rPr>
                <w:rStyle w:val="Funotenzeichen"/>
                <w:rFonts w:ascii="Verdana" w:eastAsiaTheme="minorHAnsi" w:hAnsi="Verdana"/>
                <w:sz w:val="20"/>
                <w:szCs w:val="20"/>
                <w:lang w:eastAsia="en-US"/>
              </w:rPr>
              <w:footnoteReference w:id="1"/>
            </w:r>
            <w:r w:rsidRPr="00FA150F">
              <w:rPr>
                <w:rFonts w:ascii="Verdana" w:eastAsiaTheme="minorHAnsi" w:hAnsi="Verdana"/>
                <w:sz w:val="20"/>
                <w:szCs w:val="20"/>
                <w:lang w:eastAsia="en-US"/>
              </w:rPr>
              <w:t xml:space="preserve"> des Plastikmülls allein aus verloren gegangenen Fischereigeräten stammen - Seile, Leinen, Bojen, Körbe, Eimer, Angelschnüre, Netze. Pro Jahr kommen über 1 Million Tonnen hinzu.</w:t>
            </w:r>
          </w:p>
          <w:p w14:paraId="43EF11D9" w14:textId="77777777" w:rsidR="00FA150F" w:rsidRPr="00FA150F" w:rsidRDefault="00FA150F" w:rsidP="00FA150F">
            <w:pPr>
              <w:spacing w:line="276" w:lineRule="auto"/>
              <w:rPr>
                <w:rFonts w:ascii="Verdana" w:eastAsiaTheme="minorHAnsi" w:hAnsi="Verdana"/>
                <w:sz w:val="20"/>
                <w:szCs w:val="20"/>
                <w:lang w:eastAsia="en-US"/>
              </w:rPr>
            </w:pPr>
          </w:p>
          <w:p w14:paraId="458C9AF5" w14:textId="5C4B529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Aufmerksam wurde man auf das Phänomen bei Untersuchungen des größten Müllstrudels der Welt im Nordpazifik zwischen Hawaii und Kalifornien - dem Great Pacific Garbage Patch (GPGP). Überraschendes Ergebnis: Hauptbestanteil des Plastikmülls waren mit rund 70 % tatsächlich Ausrüstungsgegenstände der Fischerei, davon 46 % Geisternetze, in Gewicht etwa 705.000 Tonnen</w:t>
            </w:r>
            <w:r>
              <w:rPr>
                <w:rStyle w:val="Funotenzeichen"/>
                <w:rFonts w:ascii="Verdana" w:eastAsiaTheme="minorHAnsi" w:hAnsi="Verdana"/>
                <w:sz w:val="20"/>
                <w:szCs w:val="20"/>
                <w:lang w:eastAsia="en-US"/>
              </w:rPr>
              <w:footnoteReference w:id="2"/>
            </w:r>
            <w:r w:rsidRPr="00FA150F">
              <w:rPr>
                <w:rFonts w:ascii="Verdana" w:eastAsiaTheme="minorHAnsi" w:hAnsi="Verdana"/>
                <w:sz w:val="20"/>
                <w:szCs w:val="20"/>
                <w:lang w:eastAsia="en-US"/>
              </w:rPr>
              <w:t>.</w:t>
            </w:r>
          </w:p>
          <w:p w14:paraId="3E217CC6" w14:textId="77777777" w:rsidR="00FA150F" w:rsidRPr="00FA150F" w:rsidRDefault="00FA150F" w:rsidP="00FA150F">
            <w:pPr>
              <w:spacing w:line="276" w:lineRule="auto"/>
              <w:ind w:right="179"/>
              <w:rPr>
                <w:rFonts w:ascii="Verdana" w:eastAsiaTheme="minorHAnsi" w:hAnsi="Verdana"/>
                <w:sz w:val="20"/>
                <w:szCs w:val="20"/>
                <w:lang w:eastAsia="en-US"/>
              </w:rPr>
            </w:pPr>
          </w:p>
          <w:p w14:paraId="25BC949E" w14:textId="798BD511"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Aktuelle Studien bestätigen nicht nur den Befund, sondern erhöhen die Zahlen noch: Laut einer Analyse der Umweltinitiative „The Ocean Cleanup“</w:t>
            </w:r>
            <w:r>
              <w:rPr>
                <w:rStyle w:val="Funotenzeichen"/>
                <w:rFonts w:ascii="Verdana" w:eastAsiaTheme="minorHAnsi" w:hAnsi="Verdana"/>
                <w:sz w:val="20"/>
                <w:szCs w:val="20"/>
                <w:lang w:eastAsia="en-US"/>
              </w:rPr>
              <w:footnoteReference w:id="3"/>
            </w:r>
            <w:r w:rsidRPr="00FA150F">
              <w:rPr>
                <w:rFonts w:ascii="Verdana" w:eastAsiaTheme="minorHAnsi" w:hAnsi="Verdana"/>
                <w:sz w:val="20"/>
                <w:szCs w:val="20"/>
                <w:lang w:eastAsia="en-US"/>
              </w:rPr>
              <w:t>, bekannt als Müllfänger im Meer, stammen sogar zwischen 75 und 86 Prozent des Plastikabfalls im GPGP aus der Hochseefischerei.</w:t>
            </w:r>
          </w:p>
          <w:p w14:paraId="4E9E3F53" w14:textId="77777777" w:rsidR="00FA150F" w:rsidRPr="00FA150F" w:rsidRDefault="00FA150F" w:rsidP="00FA150F">
            <w:pPr>
              <w:spacing w:line="276" w:lineRule="auto"/>
              <w:ind w:right="179"/>
              <w:rPr>
                <w:rFonts w:ascii="Verdana" w:eastAsiaTheme="minorHAnsi" w:hAnsi="Verdana"/>
                <w:sz w:val="20"/>
                <w:szCs w:val="20"/>
                <w:lang w:eastAsia="en-US"/>
              </w:rPr>
            </w:pPr>
          </w:p>
          <w:p w14:paraId="27F02966"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Wie kann das passieren? Bei Fangarbeiten, Stürmen oder Unfällen geht Equipment über Bord. Auch Stell- oder Schleppnetze reißen </w:t>
            </w:r>
            <w:r w:rsidRPr="00FA150F">
              <w:rPr>
                <w:rFonts w:ascii="Verdana" w:eastAsiaTheme="minorHAnsi" w:hAnsi="Verdana"/>
                <w:sz w:val="20"/>
                <w:szCs w:val="20"/>
                <w:lang w:eastAsia="en-US"/>
              </w:rPr>
              <w:lastRenderedPageBreak/>
              <w:t>ab und treiben fortan als „Geisternetze“ herrenlos durch die Ozeane oder verfangen sich am Boden, an Gesteinen, Riffen oder Wracks.</w:t>
            </w:r>
          </w:p>
          <w:p w14:paraId="4370E427" w14:textId="77777777" w:rsidR="00FA150F" w:rsidRPr="00FA150F" w:rsidRDefault="00FA150F" w:rsidP="00FA150F">
            <w:pPr>
              <w:spacing w:line="276" w:lineRule="auto"/>
              <w:ind w:right="179"/>
              <w:rPr>
                <w:rFonts w:ascii="Verdana" w:eastAsiaTheme="minorHAnsi" w:hAnsi="Verdana"/>
                <w:sz w:val="20"/>
                <w:szCs w:val="20"/>
                <w:lang w:eastAsia="en-US"/>
              </w:rPr>
            </w:pPr>
          </w:p>
          <w:p w14:paraId="5CED8B8D"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Geisternetze zu bergen, ist aufwändig, da sie zunächst aufgespürt werden müssen, hierfür wird neuerdings Sonar eingesetzt, auch will man Netze mit GPS-Trackern ausrüsten. Die Hebung ist Handarbeit, oft sitzen die Netze fest und müssen mühsam befreit werden. Auch ihr robuster Materialmix bedarf eines intensiven Recyclings. Länder, Forschungseinrichtungen, Umweltorganisationen und Fischereibetriebe sind sich mittlerweile der Bedeutung des Themas bewusst und leiten bereits Gegenmaßnahmen ein.</w:t>
            </w:r>
          </w:p>
          <w:p w14:paraId="200F82D5" w14:textId="77777777" w:rsidR="00FA150F" w:rsidRPr="00FA150F" w:rsidRDefault="00FA150F" w:rsidP="00FA150F">
            <w:pPr>
              <w:spacing w:line="276" w:lineRule="auto"/>
              <w:ind w:right="179"/>
              <w:rPr>
                <w:rFonts w:ascii="Verdana" w:eastAsiaTheme="minorHAnsi" w:hAnsi="Verdana"/>
                <w:sz w:val="20"/>
                <w:szCs w:val="20"/>
                <w:lang w:eastAsia="en-US"/>
              </w:rPr>
            </w:pPr>
          </w:p>
          <w:p w14:paraId="0E1ADA5B" w14:textId="77777777" w:rsidR="00FA150F" w:rsidRPr="00FA150F" w:rsidRDefault="00FA150F" w:rsidP="00FA150F">
            <w:pPr>
              <w:spacing w:line="276" w:lineRule="auto"/>
              <w:ind w:right="179"/>
              <w:rPr>
                <w:rFonts w:ascii="Verdana" w:eastAsiaTheme="minorHAnsi" w:hAnsi="Verdana"/>
                <w:b/>
                <w:bCs/>
                <w:sz w:val="20"/>
                <w:szCs w:val="20"/>
                <w:lang w:eastAsia="en-US"/>
              </w:rPr>
            </w:pPr>
            <w:r w:rsidRPr="00FA150F">
              <w:rPr>
                <w:rFonts w:ascii="Verdana" w:eastAsiaTheme="minorHAnsi" w:hAnsi="Verdana"/>
                <w:b/>
                <w:bCs/>
                <w:sz w:val="20"/>
                <w:szCs w:val="20"/>
                <w:lang w:eastAsia="en-US"/>
              </w:rPr>
              <w:t>Flüsse sind effektive Transportwege - auch für Müll</w:t>
            </w:r>
          </w:p>
          <w:p w14:paraId="373798A5"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Der zweite Grund, weshalb Plastikabfälle in die Meere gelangen, ist ebenfalls genau auszumachen: Untersuchungen belegen, dass sich die weltweite Müllzufuhr vom Land in die Ozeane hauptsächlich auf die 10 größten Wasserstraßen aus Asien und Afrika eingrenzen lässt. Die spülen allein rund 12 Millionen Tonnen Plastik pro Jahr in die maritimen Gewässer. Allen voran der Jangtsekiang, gefolgt von Indus, Huangho, Nil, Ganges bis zu Niger und Mekong. Eine Folge des rasanten Wirtschaftswachstums in diesen Regionen, mit dessen Dynamik die Entwicklung der Müllbeseitigung bis heute nicht Schritt halten kann.</w:t>
            </w:r>
          </w:p>
          <w:p w14:paraId="6AE7C5A2" w14:textId="77777777" w:rsidR="00FA150F" w:rsidRPr="00FA150F" w:rsidRDefault="00FA150F" w:rsidP="00FA150F">
            <w:pPr>
              <w:spacing w:line="276" w:lineRule="auto"/>
              <w:ind w:right="179"/>
              <w:rPr>
                <w:rFonts w:ascii="Verdana" w:eastAsiaTheme="minorHAnsi" w:hAnsi="Verdana"/>
                <w:sz w:val="20"/>
                <w:szCs w:val="20"/>
                <w:lang w:eastAsia="en-US"/>
              </w:rPr>
            </w:pPr>
          </w:p>
          <w:p w14:paraId="5895D3EE"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Zwischenzeitlich wird hier aktiv investiert - für den Ausbau einer geordneten Entsorgung und effektiven Weiterverwertung des Abfalls. Wie zum Beispiel dessen Verbrennung zur Energiegewinnung in entsprechend ausgestatteten Kraftwerken. So ist dem Müll beizukommen, was auch die Verschmutzung der Meere verbessert.</w:t>
            </w:r>
          </w:p>
          <w:p w14:paraId="06F049E0" w14:textId="77777777" w:rsidR="00FA150F" w:rsidRPr="00FA150F" w:rsidRDefault="00FA150F" w:rsidP="00FA150F">
            <w:pPr>
              <w:spacing w:line="276" w:lineRule="auto"/>
              <w:ind w:right="179"/>
              <w:rPr>
                <w:rFonts w:ascii="Verdana" w:eastAsiaTheme="minorHAnsi" w:hAnsi="Verdana"/>
                <w:sz w:val="20"/>
                <w:szCs w:val="20"/>
                <w:lang w:eastAsia="en-US"/>
              </w:rPr>
            </w:pPr>
          </w:p>
          <w:p w14:paraId="4B4EC5E1" w14:textId="77777777" w:rsidR="00FA150F" w:rsidRPr="00FA150F"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 xml:space="preserve">Ein weiterer Ansatz verspricht ebenfalls Abhilfe: Da sich der weltweite Mülltransfer zu Wasser vor allem auf die genannten </w:t>
            </w:r>
          </w:p>
          <w:p w14:paraId="3DA3F30F" w14:textId="3C64AC0D" w:rsidR="002C7679" w:rsidRDefault="00FA150F" w:rsidP="00FA150F">
            <w:pPr>
              <w:spacing w:line="276" w:lineRule="auto"/>
              <w:ind w:right="179"/>
              <w:rPr>
                <w:rFonts w:ascii="Verdana" w:eastAsiaTheme="minorHAnsi" w:hAnsi="Verdana"/>
                <w:sz w:val="20"/>
                <w:szCs w:val="20"/>
                <w:lang w:eastAsia="en-US"/>
              </w:rPr>
            </w:pPr>
            <w:r w:rsidRPr="00FA150F">
              <w:rPr>
                <w:rFonts w:ascii="Verdana" w:eastAsiaTheme="minorHAnsi" w:hAnsi="Verdana"/>
                <w:sz w:val="20"/>
                <w:szCs w:val="20"/>
                <w:lang w:eastAsia="en-US"/>
              </w:rPr>
              <w:t>10 Flüsse konzentriert, eröffnet sich die Möglichkeit, mit lokalen Maßnahmen dagegen vorzugehen. Wie es auch hier „The Ocean Cleanup“ tut: Die Organisation hat ein neues Abfangsystem für den Einsatz in Flüssen entwickelt. Der „Ocean Cleanup Interceptor“, ein solarbetriebenes, 24 Meter langes Boot mit Siebvorrichtung und Container, soll bis zu 50 Millionen Tonnen Müll pro Tag aus den fließenden Gewässern filtern – bevor sie in die Ozeane gelangen. Ein Engagement, das Schule machen könnte.</w:t>
            </w:r>
          </w:p>
          <w:p w14:paraId="1FE0C2B7" w14:textId="77777777" w:rsidR="00257DD9" w:rsidRPr="00D703E1" w:rsidRDefault="00257DD9" w:rsidP="00FA150F">
            <w:pPr>
              <w:spacing w:line="276" w:lineRule="auto"/>
              <w:ind w:right="37"/>
              <w:rPr>
                <w:rFonts w:ascii="Verdana" w:eastAsiaTheme="minorHAnsi" w:hAnsi="Verdana"/>
                <w:sz w:val="20"/>
                <w:szCs w:val="20"/>
                <w:lang w:eastAsia="en-US"/>
              </w:rPr>
            </w:pPr>
          </w:p>
          <w:p w14:paraId="6C3A543C" w14:textId="4E28CF79" w:rsidR="00257DD9" w:rsidRPr="003D21D8" w:rsidRDefault="00257DD9" w:rsidP="00FA150F">
            <w:pPr>
              <w:spacing w:line="276" w:lineRule="auto"/>
              <w:rPr>
                <w:rFonts w:ascii="Verdana" w:eastAsiaTheme="minorHAnsi" w:hAnsi="Verdana"/>
                <w:sz w:val="20"/>
                <w:szCs w:val="20"/>
                <w:lang w:eastAsia="en-US"/>
              </w:rPr>
            </w:pPr>
          </w:p>
        </w:tc>
        <w:tc>
          <w:tcPr>
            <w:tcW w:w="2553" w:type="dxa"/>
          </w:tcPr>
          <w:p w14:paraId="4ACDDC7F" w14:textId="0D550433" w:rsidR="00C64082" w:rsidRPr="002E5396" w:rsidRDefault="00C64082" w:rsidP="00FA150F">
            <w:pPr>
              <w:spacing w:line="276" w:lineRule="auto"/>
              <w:rPr>
                <w:rFonts w:ascii="Verdana" w:hAnsi="Verdana"/>
                <w:b/>
                <w:sz w:val="16"/>
                <w:szCs w:val="16"/>
                <w:lang w:val="en-US"/>
              </w:rPr>
            </w:pPr>
            <w:r w:rsidRPr="002E5396">
              <w:rPr>
                <w:rFonts w:ascii="Verdana" w:hAnsi="Verdana"/>
                <w:b/>
                <w:sz w:val="16"/>
                <w:szCs w:val="16"/>
                <w:lang w:val="en-US"/>
              </w:rPr>
              <w:lastRenderedPageBreak/>
              <w:t>Kontakt</w:t>
            </w:r>
          </w:p>
          <w:p w14:paraId="5690DA43" w14:textId="77777777" w:rsidR="00C64082" w:rsidRPr="002E5396" w:rsidRDefault="00C64082" w:rsidP="00FA150F">
            <w:pPr>
              <w:spacing w:line="276" w:lineRule="auto"/>
              <w:rPr>
                <w:rFonts w:ascii="Verdana" w:hAnsi="Verdana"/>
                <w:b/>
                <w:sz w:val="16"/>
                <w:szCs w:val="16"/>
                <w:lang w:val="en-US"/>
              </w:rPr>
            </w:pPr>
          </w:p>
          <w:p w14:paraId="0E122C49" w14:textId="77777777" w:rsidR="00C64082" w:rsidRPr="002E5396" w:rsidRDefault="00C64082" w:rsidP="00FA150F">
            <w:pPr>
              <w:spacing w:line="276" w:lineRule="auto"/>
              <w:rPr>
                <w:rFonts w:ascii="Verdana" w:hAnsi="Verdana"/>
                <w:sz w:val="16"/>
                <w:szCs w:val="16"/>
                <w:lang w:val="en-US"/>
              </w:rPr>
            </w:pPr>
            <w:r w:rsidRPr="002E5396">
              <w:rPr>
                <w:rFonts w:ascii="Verdana" w:hAnsi="Verdana"/>
                <w:sz w:val="16"/>
                <w:szCs w:val="16"/>
                <w:lang w:val="en-US"/>
              </w:rPr>
              <w:t>Claudia Wörner</w:t>
            </w:r>
          </w:p>
          <w:p w14:paraId="6A39AE3B" w14:textId="77777777" w:rsidR="00C64082" w:rsidRPr="002E5396" w:rsidRDefault="00C64082" w:rsidP="00FA150F">
            <w:pPr>
              <w:spacing w:line="276" w:lineRule="auto"/>
              <w:rPr>
                <w:rFonts w:ascii="Verdana" w:hAnsi="Verdana"/>
                <w:sz w:val="16"/>
                <w:szCs w:val="16"/>
                <w:lang w:val="en-US"/>
              </w:rPr>
            </w:pPr>
            <w:r w:rsidRPr="002E5396">
              <w:rPr>
                <w:rFonts w:ascii="Verdana" w:hAnsi="Verdana"/>
                <w:sz w:val="16"/>
                <w:szCs w:val="16"/>
                <w:lang w:val="en-US"/>
              </w:rPr>
              <w:t>yes or no Media GmbH</w:t>
            </w:r>
          </w:p>
          <w:p w14:paraId="41DDF2BD" w14:textId="77777777" w:rsidR="00C64082" w:rsidRPr="005E4D89" w:rsidRDefault="00C64082" w:rsidP="00FA150F">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FA150F">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FA150F">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FA150F">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FA150F">
            <w:pPr>
              <w:spacing w:line="276" w:lineRule="auto"/>
              <w:rPr>
                <w:rFonts w:ascii="Verdana" w:hAnsi="Verdana"/>
                <w:sz w:val="16"/>
                <w:szCs w:val="16"/>
              </w:rPr>
            </w:pPr>
          </w:p>
          <w:p w14:paraId="66E14946" w14:textId="6399FD58" w:rsidR="00C64082" w:rsidRPr="005E4D89" w:rsidRDefault="00C64082" w:rsidP="00FA150F">
            <w:pPr>
              <w:spacing w:line="276" w:lineRule="auto"/>
              <w:rPr>
                <w:rFonts w:ascii="Verdana" w:hAnsi="Verdana"/>
                <w:sz w:val="16"/>
                <w:szCs w:val="16"/>
              </w:rPr>
            </w:pPr>
            <w:r w:rsidRPr="005E4D89">
              <w:rPr>
                <w:rFonts w:ascii="Verdana" w:hAnsi="Verdana"/>
                <w:sz w:val="16"/>
                <w:szCs w:val="16"/>
              </w:rPr>
              <w:t>Tel + 49 711 758589</w:t>
            </w:r>
            <w:r w:rsidR="00207DDB">
              <w:rPr>
                <w:rFonts w:ascii="Verdana" w:hAnsi="Verdana"/>
                <w:sz w:val="16"/>
                <w:szCs w:val="16"/>
              </w:rPr>
              <w:t xml:space="preserve"> </w:t>
            </w:r>
            <w:r w:rsidRPr="005E4D89">
              <w:rPr>
                <w:rFonts w:ascii="Verdana" w:hAnsi="Verdana"/>
                <w:sz w:val="16"/>
                <w:szCs w:val="16"/>
              </w:rPr>
              <w:t>00</w:t>
            </w:r>
          </w:p>
          <w:p w14:paraId="6BC4F61E" w14:textId="77777777" w:rsidR="00C64082" w:rsidRPr="005E4D89" w:rsidRDefault="00C64082" w:rsidP="00FA150F">
            <w:pPr>
              <w:spacing w:line="276" w:lineRule="auto"/>
            </w:pPr>
            <w:r w:rsidRPr="005E4D89">
              <w:rPr>
                <w:rFonts w:ascii="Verdana" w:hAnsi="Verdana"/>
                <w:sz w:val="16"/>
                <w:szCs w:val="16"/>
              </w:rPr>
              <w:t>presse@yes-or-no.de</w:t>
            </w:r>
          </w:p>
          <w:p w14:paraId="28213652" w14:textId="77777777" w:rsidR="00C64082" w:rsidRPr="005E4D89" w:rsidRDefault="00C64082" w:rsidP="00FA150F">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FA150F">
            <w:pPr>
              <w:tabs>
                <w:tab w:val="left" w:pos="6237"/>
              </w:tabs>
              <w:spacing w:line="276" w:lineRule="auto"/>
              <w:ind w:right="1132"/>
              <w:rPr>
                <w:rFonts w:ascii="Verdana" w:eastAsia="Times New Roman" w:hAnsi="Verdana" w:cs="Arial"/>
                <w:sz w:val="20"/>
                <w:szCs w:val="20"/>
              </w:rPr>
            </w:pPr>
          </w:p>
          <w:p w14:paraId="5A308568" w14:textId="43D00851" w:rsidR="00C64082" w:rsidRPr="00D703E1" w:rsidRDefault="00C64082" w:rsidP="00FA150F">
            <w:pPr>
              <w:spacing w:line="276" w:lineRule="auto"/>
              <w:rPr>
                <w:rFonts w:ascii="Verdana" w:hAnsi="Verdana"/>
                <w:sz w:val="16"/>
                <w:szCs w:val="16"/>
              </w:rPr>
            </w:pPr>
            <w:r w:rsidRPr="00D703E1">
              <w:rPr>
                <w:rFonts w:ascii="Verdana" w:hAnsi="Verdana"/>
                <w:sz w:val="16"/>
                <w:szCs w:val="16"/>
              </w:rPr>
              <w:t>Zeichen:</w:t>
            </w:r>
            <w:r w:rsidR="002C7679" w:rsidRPr="00D703E1">
              <w:rPr>
                <w:rFonts w:ascii="Verdana" w:hAnsi="Verdana"/>
                <w:sz w:val="16"/>
                <w:szCs w:val="16"/>
              </w:rPr>
              <w:t xml:space="preserve"> </w:t>
            </w:r>
            <w:r w:rsidR="00FA150F">
              <w:rPr>
                <w:rFonts w:ascii="Verdana" w:hAnsi="Verdana"/>
                <w:sz w:val="16"/>
                <w:szCs w:val="16"/>
              </w:rPr>
              <w:t>6</w:t>
            </w:r>
            <w:r w:rsidR="00D703E1">
              <w:rPr>
                <w:rFonts w:ascii="Verdana" w:hAnsi="Verdana"/>
                <w:sz w:val="16"/>
                <w:szCs w:val="16"/>
              </w:rPr>
              <w:t>.</w:t>
            </w:r>
            <w:r w:rsidR="00FA150F">
              <w:rPr>
                <w:rFonts w:ascii="Verdana" w:hAnsi="Verdana"/>
                <w:sz w:val="16"/>
                <w:szCs w:val="16"/>
              </w:rPr>
              <w:t>070</w:t>
            </w:r>
          </w:p>
          <w:p w14:paraId="14BE6A53" w14:textId="1D2DAA8D" w:rsidR="00C64082" w:rsidRPr="00D703E1" w:rsidRDefault="00C64082" w:rsidP="00FA150F">
            <w:pPr>
              <w:tabs>
                <w:tab w:val="left" w:pos="6237"/>
              </w:tabs>
              <w:spacing w:line="276" w:lineRule="auto"/>
              <w:ind w:right="1132"/>
              <w:rPr>
                <w:rFonts w:ascii="Verdana" w:eastAsia="Times New Roman" w:hAnsi="Verdana" w:cs="Arial"/>
                <w:sz w:val="20"/>
                <w:szCs w:val="20"/>
              </w:rPr>
            </w:pPr>
          </w:p>
        </w:tc>
      </w:tr>
    </w:tbl>
    <w:p w14:paraId="0AB319A7" w14:textId="5F5696FD" w:rsidR="00257DD9" w:rsidRDefault="00257DD9" w:rsidP="00FA150F">
      <w:pPr>
        <w:rPr>
          <w:rFonts w:ascii="Verdana" w:eastAsiaTheme="minorHAnsi" w:hAnsi="Verdana"/>
          <w:b/>
          <w:bCs/>
          <w:sz w:val="20"/>
          <w:szCs w:val="20"/>
          <w:lang w:eastAsia="en-US"/>
        </w:rPr>
      </w:pPr>
      <w:r>
        <w:rPr>
          <w:rFonts w:ascii="Verdana" w:eastAsiaTheme="minorHAnsi" w:hAnsi="Verdana"/>
          <w:b/>
          <w:bCs/>
          <w:sz w:val="20"/>
          <w:szCs w:val="20"/>
          <w:lang w:eastAsia="en-US"/>
        </w:rPr>
        <w:br w:type="page"/>
      </w:r>
    </w:p>
    <w:p w14:paraId="0314ED4A" w14:textId="77777777" w:rsidR="00FA150F" w:rsidRDefault="00FA150F">
      <w:pPr>
        <w:rPr>
          <w:rFonts w:ascii="Verdana" w:eastAsiaTheme="minorHAnsi" w:hAnsi="Verdana"/>
          <w:b/>
          <w:bCs/>
          <w:sz w:val="20"/>
          <w:szCs w:val="20"/>
          <w:lang w:eastAsia="en-US"/>
        </w:rPr>
      </w:pPr>
    </w:p>
    <w:p w14:paraId="2B1C7DDE" w14:textId="77777777" w:rsidR="00FA150F" w:rsidRDefault="00FA150F">
      <w:pPr>
        <w:rPr>
          <w:rFonts w:ascii="Verdana" w:eastAsiaTheme="minorHAnsi" w:hAnsi="Verdana"/>
          <w:b/>
          <w:bCs/>
          <w:sz w:val="20"/>
          <w:szCs w:val="20"/>
          <w:lang w:eastAsia="en-US"/>
        </w:rPr>
      </w:pPr>
    </w:p>
    <w:p w14:paraId="2024EB3D" w14:textId="77777777" w:rsidR="00FA150F" w:rsidRDefault="00FA150F">
      <w:pPr>
        <w:rPr>
          <w:rFonts w:ascii="Verdana" w:eastAsiaTheme="minorHAnsi" w:hAnsi="Verdana"/>
          <w:b/>
          <w:bCs/>
          <w:sz w:val="20"/>
          <w:szCs w:val="20"/>
          <w:lang w:eastAsia="en-US"/>
        </w:rPr>
      </w:pPr>
    </w:p>
    <w:tbl>
      <w:tblPr>
        <w:tblStyle w:val="Tabellenraster"/>
        <w:tblW w:w="7650" w:type="dxa"/>
        <w:tblInd w:w="142" w:type="dxa"/>
        <w:tblLook w:val="04A0" w:firstRow="1" w:lastRow="0" w:firstColumn="1" w:lastColumn="0" w:noHBand="0" w:noVBand="1"/>
      </w:tblPr>
      <w:tblGrid>
        <w:gridCol w:w="7650"/>
      </w:tblGrid>
      <w:tr w:rsidR="00FA150F" w:rsidRPr="001C6C80" w14:paraId="10EB49A6" w14:textId="77777777" w:rsidTr="00935187">
        <w:tc>
          <w:tcPr>
            <w:tcW w:w="7650" w:type="dxa"/>
          </w:tcPr>
          <w:p w14:paraId="33FB2A88" w14:textId="77777777" w:rsidR="00FA150F" w:rsidRPr="001C6C80" w:rsidRDefault="00FA150F" w:rsidP="00935187">
            <w:pPr>
              <w:spacing w:line="276" w:lineRule="auto"/>
              <w:rPr>
                <w:rFonts w:ascii="Verdana" w:hAnsi="Verdana"/>
                <w:b/>
                <w:bCs/>
                <w:sz w:val="20"/>
                <w:szCs w:val="20"/>
              </w:rPr>
            </w:pPr>
            <w:r w:rsidRPr="001C6C80">
              <w:rPr>
                <w:rFonts w:ascii="Verdana" w:eastAsiaTheme="minorHAnsi" w:hAnsi="Verdana"/>
                <w:b/>
                <w:bCs/>
                <w:sz w:val="20"/>
                <w:szCs w:val="20"/>
                <w:lang w:eastAsia="en-US"/>
              </w:rPr>
              <w:t>Was ist:</w:t>
            </w:r>
          </w:p>
          <w:p w14:paraId="459B6BA3"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Eine Studie von Ozeanexperten um Dr. Britta Denise Hardesty, Forschungsleiterin bei der australischen Wissenschaftseinrichtung CSIRO Oceans and Atmosphere, bringt deutliche Fakten zutage. Hierfür wurden 451 Fischereibetriebe in 7 Ländern befragt</w:t>
            </w:r>
            <w:r w:rsidRPr="001C6C80">
              <w:rPr>
                <w:rStyle w:val="Funotenzeichen"/>
                <w:rFonts w:ascii="Verdana" w:eastAsiaTheme="minorHAnsi" w:hAnsi="Verdana"/>
                <w:lang w:eastAsia="en-US"/>
              </w:rPr>
              <w:footnoteReference w:id="4"/>
            </w:r>
            <w:r w:rsidRPr="001C6C80">
              <w:rPr>
                <w:rFonts w:ascii="Verdana" w:eastAsiaTheme="minorHAnsi" w:hAnsi="Verdana"/>
                <w:sz w:val="20"/>
                <w:szCs w:val="20"/>
                <w:lang w:eastAsia="en-US"/>
              </w:rPr>
              <w:t>:</w:t>
            </w:r>
          </w:p>
          <w:p w14:paraId="767D29F2" w14:textId="77777777" w:rsidR="00FA150F" w:rsidRPr="001C6C80" w:rsidRDefault="00FA150F" w:rsidP="00935187">
            <w:pPr>
              <w:spacing w:line="276" w:lineRule="auto"/>
              <w:rPr>
                <w:rFonts w:ascii="Verdana" w:eastAsiaTheme="minorHAnsi" w:hAnsi="Verdana"/>
                <w:sz w:val="20"/>
                <w:szCs w:val="20"/>
                <w:lang w:eastAsia="en-US"/>
              </w:rPr>
            </w:pPr>
          </w:p>
          <w:p w14:paraId="3ABF3209"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Pro Jahr gehen über 2 % aller Fischfanggeräte verloren.</w:t>
            </w:r>
          </w:p>
          <w:p w14:paraId="53EF4654"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In den Meeren befinden sich mittlerweile 25 Millionen Reusen (Fangkäfige) und 14 Milliarden Köderhaken.</w:t>
            </w:r>
          </w:p>
          <w:p w14:paraId="1D69F429" w14:textId="77777777" w:rsidR="00FA150F" w:rsidRPr="001C6C80" w:rsidRDefault="00FA150F" w:rsidP="00935187">
            <w:pPr>
              <w:spacing w:line="276" w:lineRule="auto"/>
              <w:ind w:left="142" w:right="565"/>
              <w:jc w:val="both"/>
              <w:rPr>
                <w:rFonts w:ascii="Verdana" w:eastAsiaTheme="minorHAnsi" w:hAnsi="Verdana"/>
                <w:sz w:val="20"/>
                <w:szCs w:val="20"/>
                <w:lang w:eastAsia="en-US"/>
              </w:rPr>
            </w:pPr>
          </w:p>
          <w:p w14:paraId="04C8951A" w14:textId="77777777" w:rsidR="00FA150F" w:rsidRPr="001C6C80" w:rsidRDefault="00FA150F" w:rsidP="00935187">
            <w:pPr>
              <w:spacing w:line="276" w:lineRule="auto"/>
              <w:ind w:right="565"/>
              <w:jc w:val="both"/>
              <w:rPr>
                <w:rFonts w:ascii="Verdana" w:eastAsiaTheme="minorHAnsi" w:hAnsi="Verdana"/>
                <w:sz w:val="20"/>
                <w:szCs w:val="20"/>
                <w:lang w:eastAsia="en-US"/>
              </w:rPr>
            </w:pPr>
            <w:r w:rsidRPr="001C6C80">
              <w:rPr>
                <w:rFonts w:ascii="Verdana" w:eastAsiaTheme="minorHAnsi" w:hAnsi="Verdana"/>
                <w:sz w:val="20"/>
                <w:szCs w:val="20"/>
                <w:lang w:eastAsia="en-US"/>
              </w:rPr>
              <w:t>Dazu:</w:t>
            </w:r>
          </w:p>
          <w:p w14:paraId="1E0CAF82" w14:textId="77777777" w:rsidR="00FA150F" w:rsidRPr="001C6C80" w:rsidRDefault="00FA150F" w:rsidP="00935187">
            <w:pPr>
              <w:pStyle w:val="Listenabsatz"/>
              <w:numPr>
                <w:ilvl w:val="0"/>
                <w:numId w:val="23"/>
              </w:numPr>
              <w:spacing w:line="276" w:lineRule="auto"/>
              <w:ind w:left="454" w:hanging="425"/>
              <w:rPr>
                <w:rFonts w:eastAsiaTheme="minorHAnsi"/>
                <w:sz w:val="20"/>
                <w:szCs w:val="20"/>
                <w:lang w:eastAsia="en-US"/>
              </w:rPr>
            </w:pPr>
            <w:r w:rsidRPr="001C6C80">
              <w:rPr>
                <w:rFonts w:eastAsiaTheme="minorHAnsi"/>
                <w:sz w:val="20"/>
                <w:szCs w:val="20"/>
                <w:lang w:eastAsia="en-US"/>
              </w:rPr>
              <w:t>2.963 Quadratkilometer Kiemennetze – flächenmäßig größer als das Saarland (2.570 Quadratkilometer),</w:t>
            </w:r>
          </w:p>
          <w:p w14:paraId="67B5D661" w14:textId="77777777" w:rsidR="00FA150F" w:rsidRPr="001C6C80" w:rsidRDefault="00FA150F" w:rsidP="00935187">
            <w:pPr>
              <w:pStyle w:val="Listenabsatz"/>
              <w:numPr>
                <w:ilvl w:val="0"/>
                <w:numId w:val="23"/>
              </w:numPr>
              <w:spacing w:line="276" w:lineRule="auto"/>
              <w:ind w:left="454" w:hanging="425"/>
              <w:rPr>
                <w:rFonts w:eastAsiaTheme="minorHAnsi"/>
                <w:sz w:val="20"/>
                <w:szCs w:val="20"/>
                <w:lang w:eastAsia="en-US"/>
              </w:rPr>
            </w:pPr>
            <w:r w:rsidRPr="001C6C80">
              <w:rPr>
                <w:rFonts w:eastAsiaTheme="minorHAnsi"/>
                <w:sz w:val="20"/>
                <w:szCs w:val="20"/>
                <w:lang w:eastAsia="en-US"/>
              </w:rPr>
              <w:t>75.049 Quadratkilometer Ringwandnetze – mehr als das flächengrößte Bundesland Bayern (70.550 Quadratkilometer),</w:t>
            </w:r>
          </w:p>
          <w:p w14:paraId="45EE445E" w14:textId="77777777" w:rsidR="00FA150F" w:rsidRPr="001C6C80" w:rsidRDefault="00FA150F" w:rsidP="00935187">
            <w:pPr>
              <w:pStyle w:val="Listenabsatz"/>
              <w:numPr>
                <w:ilvl w:val="0"/>
                <w:numId w:val="23"/>
              </w:numPr>
              <w:spacing w:line="276" w:lineRule="auto"/>
              <w:ind w:left="454" w:hanging="425"/>
              <w:rPr>
                <w:rFonts w:eastAsiaTheme="minorHAnsi"/>
                <w:sz w:val="20"/>
                <w:szCs w:val="20"/>
                <w:lang w:eastAsia="en-US"/>
              </w:rPr>
            </w:pPr>
            <w:r w:rsidRPr="001C6C80">
              <w:rPr>
                <w:rFonts w:eastAsiaTheme="minorHAnsi"/>
                <w:sz w:val="20"/>
                <w:szCs w:val="20"/>
                <w:lang w:eastAsia="en-US"/>
              </w:rPr>
              <w:t>218 Quadratkilometer Schleppnetze – das entspricht etwa 30.000 Fußballfeldern,</w:t>
            </w:r>
          </w:p>
          <w:p w14:paraId="60C1B106" w14:textId="77777777" w:rsidR="00FA150F" w:rsidRPr="001C6C80" w:rsidRDefault="00FA150F" w:rsidP="00935187">
            <w:pPr>
              <w:pStyle w:val="Listenabsatz"/>
              <w:numPr>
                <w:ilvl w:val="0"/>
                <w:numId w:val="23"/>
              </w:numPr>
              <w:spacing w:line="276" w:lineRule="auto"/>
              <w:ind w:left="454" w:hanging="425"/>
              <w:rPr>
                <w:rFonts w:eastAsiaTheme="minorHAnsi"/>
                <w:sz w:val="20"/>
                <w:szCs w:val="20"/>
                <w:lang w:eastAsia="en-US"/>
              </w:rPr>
            </w:pPr>
            <w:r w:rsidRPr="001C6C80">
              <w:rPr>
                <w:rFonts w:eastAsiaTheme="minorHAnsi"/>
                <w:sz w:val="20"/>
                <w:szCs w:val="20"/>
                <w:lang w:eastAsia="en-US"/>
              </w:rPr>
              <w:t>739.538 Kilometer Lang- und Hauptleinen – damit könnte man die Welt 17-mal umwickeln und 11,5 Millionen Zweigleinen.</w:t>
            </w:r>
          </w:p>
          <w:p w14:paraId="01B11C15" w14:textId="77777777" w:rsidR="00FA150F" w:rsidRPr="001C6C80" w:rsidRDefault="00FA150F" w:rsidP="00935187">
            <w:pPr>
              <w:spacing w:line="276" w:lineRule="auto"/>
              <w:rPr>
                <w:rFonts w:ascii="Verdana" w:eastAsiaTheme="minorHAnsi" w:hAnsi="Verdana"/>
                <w:sz w:val="20"/>
                <w:szCs w:val="20"/>
                <w:lang w:eastAsia="en-US"/>
              </w:rPr>
            </w:pPr>
          </w:p>
          <w:p w14:paraId="028F107F"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hAnsi="Verdana"/>
                <w:b/>
                <w:bCs/>
                <w:sz w:val="20"/>
                <w:szCs w:val="20"/>
              </w:rPr>
              <w:t>Was getan wird:</w:t>
            </w:r>
            <w:r w:rsidRPr="001C6C80">
              <w:rPr>
                <w:rFonts w:ascii="Verdana" w:eastAsiaTheme="minorHAnsi" w:hAnsi="Verdana"/>
                <w:sz w:val="20"/>
                <w:szCs w:val="20"/>
                <w:lang w:eastAsia="en-US"/>
              </w:rPr>
              <w:br/>
              <w:t>Maßnahmen zur Verhinderung von Plastikmüll durch Fischereigeräte:</w:t>
            </w:r>
          </w:p>
          <w:p w14:paraId="45789AD3"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Das „Internationale Übereinkommen zur Verhütung der Meeresverschmutzung durch Schiffe“, genannt MARPOL, untersagt, Schadstoffe ins Meer einzubringen.</w:t>
            </w:r>
          </w:p>
          <w:p w14:paraId="3ED87474" w14:textId="77777777" w:rsidR="00FA150F" w:rsidRPr="001C6C80" w:rsidRDefault="00FA150F" w:rsidP="00935187">
            <w:pPr>
              <w:spacing w:line="276" w:lineRule="auto"/>
              <w:rPr>
                <w:rFonts w:ascii="Verdana" w:eastAsiaTheme="minorHAnsi" w:hAnsi="Verdana"/>
                <w:sz w:val="20"/>
                <w:szCs w:val="20"/>
                <w:lang w:eastAsia="en-US"/>
              </w:rPr>
            </w:pPr>
          </w:p>
          <w:p w14:paraId="10F8563E"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Die EU-Fischerei-Kontrollverordnung verbietet das Entsorgen von Fischereigeräten im Meer. Verloren gegangene Netze müssen den Behörden gemeldet werden.</w:t>
            </w:r>
          </w:p>
          <w:p w14:paraId="221142AC" w14:textId="77777777" w:rsidR="00FA150F" w:rsidRPr="001C6C80" w:rsidRDefault="00FA150F" w:rsidP="00935187">
            <w:pPr>
              <w:spacing w:line="276" w:lineRule="auto"/>
              <w:rPr>
                <w:rFonts w:ascii="Verdana" w:eastAsiaTheme="minorHAnsi" w:hAnsi="Verdana"/>
                <w:sz w:val="20"/>
                <w:szCs w:val="20"/>
                <w:lang w:eastAsia="en-US"/>
              </w:rPr>
            </w:pPr>
          </w:p>
          <w:p w14:paraId="0B37722A" w14:textId="77777777" w:rsidR="00FA150F" w:rsidRPr="001C6C80" w:rsidRDefault="00FA150F" w:rsidP="00935187">
            <w:pPr>
              <w:spacing w:line="276" w:lineRule="auto"/>
              <w:rPr>
                <w:rFonts w:ascii="Verdana" w:eastAsiaTheme="minorHAnsi" w:hAnsi="Verdana"/>
                <w:sz w:val="20"/>
                <w:szCs w:val="20"/>
                <w:lang w:eastAsia="en-US"/>
              </w:rPr>
            </w:pPr>
            <w:r w:rsidRPr="001C6C80">
              <w:rPr>
                <w:rFonts w:ascii="Verdana" w:eastAsiaTheme="minorHAnsi" w:hAnsi="Verdana"/>
                <w:sz w:val="20"/>
                <w:szCs w:val="20"/>
                <w:lang w:eastAsia="en-US"/>
              </w:rPr>
              <w:t>Mit dem Projekt „Marelitt Baltic“ untersuchen Fischereigemeinden, Forschungsinstitute &amp; Umweltverbände aus Schweden, Estland, Polen &amp; Deutschland, wie Kunststoffnetze geborgen &amp; wiederverwertet werden können. Organisationen und Projekte, wie AegeanRebreath“, „GhostNets Australia“, „Ghost Diving“ oder „Healthy Seas“ setzen sich für die Bergung, Entsorgung und die Wiederverwertung von Geisternetzen ein.</w:t>
            </w:r>
          </w:p>
          <w:p w14:paraId="69237924" w14:textId="77777777" w:rsidR="00FA150F" w:rsidRPr="001C6C80" w:rsidRDefault="00FA150F" w:rsidP="00935187">
            <w:pPr>
              <w:spacing w:line="276" w:lineRule="auto"/>
              <w:ind w:left="171" w:right="565"/>
              <w:rPr>
                <w:rFonts w:ascii="Verdana" w:eastAsiaTheme="minorHAnsi" w:hAnsi="Verdana"/>
                <w:sz w:val="20"/>
                <w:szCs w:val="20"/>
                <w:lang w:eastAsia="en-US"/>
              </w:rPr>
            </w:pPr>
          </w:p>
        </w:tc>
      </w:tr>
    </w:tbl>
    <w:p w14:paraId="571D9FA2" w14:textId="54DFDC8A" w:rsidR="00FA150F" w:rsidRDefault="00FA150F">
      <w:pPr>
        <w:rPr>
          <w:rFonts w:ascii="Verdana" w:eastAsiaTheme="minorHAnsi" w:hAnsi="Verdana"/>
          <w:b/>
          <w:bCs/>
          <w:sz w:val="20"/>
          <w:szCs w:val="20"/>
          <w:lang w:eastAsia="en-US"/>
        </w:rPr>
      </w:pPr>
      <w:r>
        <w:rPr>
          <w:rFonts w:ascii="Verdana" w:eastAsiaTheme="minorHAnsi" w:hAnsi="Verdana"/>
          <w:b/>
          <w:bCs/>
          <w:sz w:val="20"/>
          <w:szCs w:val="20"/>
          <w:lang w:eastAsia="en-US"/>
        </w:rPr>
        <w:br w:type="page"/>
      </w:r>
    </w:p>
    <w:p w14:paraId="3EDBBB30" w14:textId="77777777" w:rsidR="00257DD9" w:rsidRDefault="00257DD9" w:rsidP="00FA150F">
      <w:pPr>
        <w:spacing w:after="0"/>
        <w:ind w:firstLine="142"/>
        <w:rPr>
          <w:rFonts w:ascii="Verdana" w:eastAsiaTheme="minorHAnsi" w:hAnsi="Verdana"/>
          <w:b/>
          <w:bCs/>
          <w:sz w:val="20"/>
          <w:szCs w:val="20"/>
          <w:lang w:eastAsia="en-US"/>
        </w:rPr>
      </w:pPr>
    </w:p>
    <w:p w14:paraId="4D34A33F" w14:textId="77777777" w:rsidR="00FD413C" w:rsidRDefault="00FD413C" w:rsidP="00FA150F">
      <w:pPr>
        <w:spacing w:after="0"/>
        <w:ind w:firstLine="142"/>
        <w:rPr>
          <w:rFonts w:ascii="Verdana" w:eastAsiaTheme="minorHAnsi" w:hAnsi="Verdana"/>
          <w:b/>
          <w:bCs/>
          <w:sz w:val="20"/>
          <w:szCs w:val="20"/>
          <w:lang w:eastAsia="en-US"/>
        </w:rPr>
      </w:pPr>
    </w:p>
    <w:p w14:paraId="45AA89D2" w14:textId="2681DF0C" w:rsidR="00D32AE4" w:rsidRDefault="003532A6" w:rsidP="00FA150F">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t>Bild</w:t>
      </w:r>
    </w:p>
    <w:p w14:paraId="6D84FB2D" w14:textId="77777777" w:rsidR="00FD413C" w:rsidRDefault="00FD413C" w:rsidP="00FA150F">
      <w:pPr>
        <w:spacing w:after="0"/>
        <w:ind w:firstLine="142"/>
        <w:rPr>
          <w:rFonts w:ascii="Verdana" w:eastAsiaTheme="minorHAnsi" w:hAnsi="Verdana"/>
          <w:b/>
          <w:bCs/>
          <w:sz w:val="20"/>
          <w:szCs w:val="20"/>
          <w:lang w:eastAsia="en-US"/>
        </w:rPr>
      </w:pPr>
    </w:p>
    <w:p w14:paraId="7411B6E1" w14:textId="576240C5" w:rsidR="002E5396" w:rsidRPr="002E5396" w:rsidRDefault="00FA150F" w:rsidP="00FA150F">
      <w:pPr>
        <w:spacing w:after="0"/>
        <w:ind w:left="142"/>
        <w:rPr>
          <w:rFonts w:ascii="Verdana" w:eastAsiaTheme="minorHAnsi" w:hAnsi="Verdana"/>
          <w:b/>
          <w:bCs/>
          <w:sz w:val="20"/>
          <w:szCs w:val="20"/>
          <w:lang w:eastAsia="en-US"/>
        </w:rPr>
      </w:pPr>
      <w:r>
        <w:rPr>
          <w:b/>
          <w:bCs/>
          <w:noProof/>
          <w:sz w:val="28"/>
          <w:szCs w:val="28"/>
        </w:rPr>
        <w:drawing>
          <wp:inline distT="0" distB="0" distL="0" distR="0" wp14:anchorId="081194F1" wp14:editId="258B9BFF">
            <wp:extent cx="3400425" cy="226232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0690" cy="2275806"/>
                    </a:xfrm>
                    <a:prstGeom prst="rect">
                      <a:avLst/>
                    </a:prstGeom>
                    <a:noFill/>
                    <a:ln>
                      <a:noFill/>
                    </a:ln>
                  </pic:spPr>
                </pic:pic>
              </a:graphicData>
            </a:graphic>
          </wp:inline>
        </w:drawing>
      </w:r>
    </w:p>
    <w:p w14:paraId="6B96EE18" w14:textId="25EB7481" w:rsidR="002E5396" w:rsidRPr="00257DD9" w:rsidRDefault="00FA150F" w:rsidP="00FA150F">
      <w:pPr>
        <w:spacing w:after="0"/>
        <w:ind w:left="142"/>
        <w:rPr>
          <w:rFonts w:ascii="Verdana" w:eastAsiaTheme="minorHAnsi" w:hAnsi="Verdana"/>
          <w:bCs/>
          <w:i/>
          <w:iCs/>
          <w:sz w:val="20"/>
          <w:szCs w:val="20"/>
          <w:lang w:eastAsia="en-US"/>
        </w:rPr>
      </w:pPr>
      <w:r w:rsidRPr="007B634F">
        <w:rPr>
          <w:rFonts w:ascii="Verdana" w:eastAsiaTheme="minorHAnsi" w:hAnsi="Verdana"/>
          <w:i/>
          <w:iCs/>
          <w:sz w:val="20"/>
          <w:szCs w:val="20"/>
          <w:lang w:eastAsia="en-US"/>
        </w:rPr>
        <w:t xml:space="preserve">Auch in der kommerziellen Fischerei hat Plastik seinen festen Platz: Kunststoff ist in puncto Gewicht, Handling und Haltbarkeit anderen Materialien gegenüber überlegen. </w:t>
      </w:r>
      <w:r w:rsidRPr="007B634F">
        <w:rPr>
          <w:rFonts w:ascii="Verdana" w:hAnsi="Verdana" w:cs="Arial"/>
          <w:i/>
          <w:iCs/>
          <w:sz w:val="20"/>
          <w:szCs w:val="20"/>
        </w:rPr>
        <w:t>(Quelle: ALPLA</w:t>
      </w:r>
      <w:r w:rsidR="003732E7" w:rsidRPr="003732E7">
        <w:rPr>
          <w:rFonts w:ascii="Verdana" w:hAnsi="Verdana" w:cs="Arial"/>
          <w:i/>
          <w:iCs/>
          <w:sz w:val="20"/>
          <w:szCs w:val="20"/>
        </w:rPr>
        <w:t>)</w:t>
      </w:r>
    </w:p>
    <w:p w14:paraId="20B5B582" w14:textId="77777777" w:rsidR="00D703E1" w:rsidRDefault="00D703E1" w:rsidP="00FA150F">
      <w:pPr>
        <w:spacing w:after="0"/>
        <w:rPr>
          <w:rFonts w:ascii="Verdana" w:eastAsiaTheme="minorHAnsi" w:hAnsi="Verdana"/>
          <w:sz w:val="20"/>
          <w:szCs w:val="20"/>
          <w:lang w:eastAsia="en-US"/>
        </w:rPr>
      </w:pPr>
    </w:p>
    <w:p w14:paraId="535F8857" w14:textId="77777777" w:rsidR="00D703E1" w:rsidRDefault="00D703E1" w:rsidP="00FA150F">
      <w:pPr>
        <w:spacing w:after="0"/>
        <w:ind w:left="142"/>
        <w:rPr>
          <w:rFonts w:ascii="Verdana" w:eastAsiaTheme="minorHAnsi" w:hAnsi="Verdana"/>
          <w:sz w:val="20"/>
          <w:szCs w:val="20"/>
          <w:lang w:eastAsia="en-US"/>
        </w:rPr>
      </w:pPr>
    </w:p>
    <w:p w14:paraId="26ECB99F" w14:textId="77777777" w:rsidR="002E5396" w:rsidRDefault="002E5396" w:rsidP="00FA150F">
      <w:pPr>
        <w:spacing w:after="0"/>
        <w:ind w:left="142"/>
        <w:rPr>
          <w:rFonts w:ascii="Verdana" w:eastAsiaTheme="minorHAnsi" w:hAnsi="Verdana"/>
          <w:sz w:val="20"/>
          <w:szCs w:val="20"/>
          <w:lang w:eastAsia="en-US"/>
        </w:rPr>
      </w:pPr>
    </w:p>
    <w:p w14:paraId="49A8FAD1" w14:textId="77777777" w:rsidR="002E5396" w:rsidRDefault="002E5396" w:rsidP="00FA150F">
      <w:pPr>
        <w:tabs>
          <w:tab w:val="left" w:pos="5387"/>
        </w:tabs>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Über „Plastic is fantastic“</w:t>
      </w:r>
    </w:p>
    <w:p w14:paraId="72AAF359" w14:textId="77777777" w:rsidR="002E5396" w:rsidRPr="00051AD6" w:rsidRDefault="002E5396" w:rsidP="00FA150F">
      <w:pPr>
        <w:ind w:left="142"/>
        <w:rPr>
          <w:rFonts w:ascii="Verdana" w:eastAsiaTheme="minorHAnsi" w:hAnsi="Verdana"/>
          <w:sz w:val="20"/>
          <w:szCs w:val="20"/>
          <w:lang w:eastAsia="en-US"/>
        </w:rPr>
      </w:pPr>
      <w:r w:rsidRPr="008C1CEF">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r>
        <w:rPr>
          <w:rFonts w:ascii="Verdana" w:eastAsiaTheme="minorHAnsi" w:hAnsi="Verdana"/>
          <w:sz w:val="20"/>
          <w:szCs w:val="20"/>
          <w:lang w:eastAsia="en-US"/>
        </w:rPr>
        <w:t>.</w:t>
      </w:r>
    </w:p>
    <w:p w14:paraId="23468BDA" w14:textId="77777777" w:rsidR="002E5396" w:rsidRDefault="002E5396" w:rsidP="00FA150F">
      <w:pPr>
        <w:ind w:left="142"/>
        <w:rPr>
          <w:rFonts w:ascii="Verdana" w:eastAsiaTheme="minorHAnsi" w:hAnsi="Verdana"/>
          <w:sz w:val="20"/>
          <w:szCs w:val="20"/>
          <w:lang w:eastAsia="en-US"/>
        </w:rPr>
      </w:pPr>
      <w:r w:rsidRPr="008C1CEF">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140E20A5" w14:textId="33F46245" w:rsidR="003532A6" w:rsidRPr="002E5396" w:rsidRDefault="002E5396" w:rsidP="00FA150F">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3532A6" w:rsidRPr="002E5396"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16BB9D4A" w14:textId="0421393B" w:rsidR="00FA150F" w:rsidRDefault="00FA150F">
      <w:pPr>
        <w:pStyle w:val="Funotentext"/>
      </w:pPr>
      <w:r>
        <w:rPr>
          <w:rStyle w:val="Funotenzeichen"/>
        </w:rPr>
        <w:footnoteRef/>
      </w:r>
      <w:r>
        <w:t xml:space="preserve"> </w:t>
      </w:r>
      <w:bookmarkStart w:id="0" w:name="_Hlk190265206"/>
      <w:r w:rsidRPr="001C6C80">
        <w:rPr>
          <w:rFonts w:ascii="Verdana" w:hAnsi="Verdana"/>
          <w:sz w:val="16"/>
          <w:szCs w:val="16"/>
        </w:rPr>
        <w:t>Veröffentlichung WWF Themen &amp; Projekte Geisternetze 17.08.2018</w:t>
      </w:r>
      <w:bookmarkEnd w:id="0"/>
    </w:p>
  </w:footnote>
  <w:footnote w:id="2">
    <w:p w14:paraId="1C72B947" w14:textId="77777777" w:rsidR="00FA150F" w:rsidRDefault="00FA150F" w:rsidP="00FA150F">
      <w:pPr>
        <w:pStyle w:val="Funotentext"/>
        <w:rPr>
          <w:rFonts w:ascii="Verdana" w:hAnsi="Verdana"/>
          <w:sz w:val="16"/>
          <w:szCs w:val="16"/>
          <w:lang w:val="en-US"/>
        </w:rPr>
      </w:pPr>
      <w:r>
        <w:rPr>
          <w:rStyle w:val="Funotenzeichen"/>
        </w:rPr>
        <w:footnoteRef/>
      </w:r>
      <w:r w:rsidRPr="00FA150F">
        <w:rPr>
          <w:lang w:val="en-US"/>
        </w:rPr>
        <w:t xml:space="preserve"> </w:t>
      </w:r>
      <w:bookmarkStart w:id="1" w:name="_Hlk190265214"/>
      <w:r w:rsidRPr="00FA6D1E">
        <w:rPr>
          <w:rFonts w:ascii="Verdana" w:hAnsi="Verdana"/>
          <w:sz w:val="16"/>
          <w:szCs w:val="16"/>
          <w:lang w:val="en-US"/>
        </w:rPr>
        <w:t xml:space="preserve">Scientific Reports: Evidence that the Great Pacific Garbage Patch is rapidly accumulating </w:t>
      </w:r>
    </w:p>
    <w:p w14:paraId="50AC521B" w14:textId="783AA73D" w:rsidR="00FA150F" w:rsidRPr="00FA150F" w:rsidRDefault="00FA150F" w:rsidP="00FA150F">
      <w:pPr>
        <w:pStyle w:val="Funotentext"/>
        <w:rPr>
          <w:lang w:val="en-US"/>
        </w:rPr>
      </w:pPr>
      <w:r>
        <w:rPr>
          <w:rFonts w:ascii="Verdana" w:hAnsi="Verdana"/>
          <w:sz w:val="16"/>
          <w:szCs w:val="16"/>
          <w:lang w:val="en-US"/>
        </w:rPr>
        <w:t xml:space="preserve">  </w:t>
      </w:r>
      <w:r w:rsidRPr="00FA6D1E">
        <w:rPr>
          <w:rFonts w:ascii="Verdana" w:hAnsi="Verdana"/>
          <w:sz w:val="16"/>
          <w:szCs w:val="16"/>
          <w:lang w:val="en-US"/>
        </w:rPr>
        <w:t>plastic 2018, L. Lebreton</w:t>
      </w:r>
      <w:bookmarkEnd w:id="1"/>
    </w:p>
  </w:footnote>
  <w:footnote w:id="3">
    <w:p w14:paraId="204AB69B" w14:textId="77777777" w:rsidR="00FA150F" w:rsidRDefault="00FA150F" w:rsidP="00FA150F">
      <w:pPr>
        <w:pStyle w:val="Funotentext"/>
        <w:rPr>
          <w:rFonts w:ascii="Verdana" w:hAnsi="Verdana"/>
          <w:sz w:val="16"/>
          <w:szCs w:val="16"/>
          <w:lang w:val="en-US"/>
        </w:rPr>
      </w:pPr>
      <w:r>
        <w:rPr>
          <w:rStyle w:val="Funotenzeichen"/>
        </w:rPr>
        <w:footnoteRef/>
      </w:r>
      <w:r w:rsidRPr="00FA150F">
        <w:rPr>
          <w:lang w:val="en-US"/>
        </w:rPr>
        <w:t xml:space="preserve"> </w:t>
      </w:r>
      <w:bookmarkStart w:id="2" w:name="_Hlk190265223"/>
      <w:r w:rsidRPr="00FA6D1E">
        <w:rPr>
          <w:rFonts w:ascii="Verdana" w:hAnsi="Verdana"/>
          <w:sz w:val="16"/>
          <w:szCs w:val="16"/>
          <w:lang w:val="en-US"/>
        </w:rPr>
        <w:t xml:space="preserve">Study „The Ocean </w:t>
      </w:r>
      <w:proofErr w:type="gramStart"/>
      <w:r w:rsidRPr="00FA6D1E">
        <w:rPr>
          <w:rFonts w:ascii="Verdana" w:hAnsi="Verdana"/>
          <w:sz w:val="16"/>
          <w:szCs w:val="16"/>
          <w:lang w:val="en-US"/>
        </w:rPr>
        <w:t>Cleanup“</w:t>
      </w:r>
      <w:r>
        <w:rPr>
          <w:rFonts w:ascii="Verdana" w:hAnsi="Verdana"/>
          <w:sz w:val="16"/>
          <w:szCs w:val="16"/>
          <w:lang w:val="en-US"/>
        </w:rPr>
        <w:t xml:space="preserve"> </w:t>
      </w:r>
      <w:r w:rsidRPr="00FA6D1E">
        <w:rPr>
          <w:rFonts w:ascii="Verdana" w:hAnsi="Verdana"/>
          <w:sz w:val="16"/>
          <w:szCs w:val="16"/>
          <w:lang w:val="en-US"/>
        </w:rPr>
        <w:t>(</w:t>
      </w:r>
      <w:proofErr w:type="gramEnd"/>
      <w:r w:rsidRPr="00FA6D1E">
        <w:rPr>
          <w:rFonts w:ascii="Verdana" w:hAnsi="Verdana"/>
          <w:sz w:val="16"/>
          <w:szCs w:val="16"/>
          <w:lang w:val="en-US"/>
        </w:rPr>
        <w:t xml:space="preserve">Müllsammler System 001/B 2019), „Der Spiegel“ </w:t>
      </w:r>
    </w:p>
    <w:p w14:paraId="0479EEE1" w14:textId="6D4C282E" w:rsidR="00FA150F" w:rsidRPr="00FA150F" w:rsidRDefault="00FA150F" w:rsidP="00FA150F">
      <w:pPr>
        <w:pStyle w:val="Funotentext"/>
        <w:rPr>
          <w:lang w:val="en-US"/>
        </w:rPr>
      </w:pPr>
      <w:r>
        <w:rPr>
          <w:rFonts w:ascii="Verdana" w:hAnsi="Verdana"/>
          <w:sz w:val="16"/>
          <w:szCs w:val="16"/>
          <w:lang w:val="en-US"/>
        </w:rPr>
        <w:t xml:space="preserve">  </w:t>
      </w:r>
      <w:r w:rsidRPr="00FA6D1E">
        <w:rPr>
          <w:rFonts w:ascii="Verdana" w:hAnsi="Verdana"/>
          <w:sz w:val="16"/>
          <w:szCs w:val="16"/>
          <w:lang w:val="en-US"/>
        </w:rPr>
        <w:t>05.09.2022</w:t>
      </w:r>
      <w:bookmarkEnd w:id="2"/>
    </w:p>
  </w:footnote>
  <w:footnote w:id="4">
    <w:p w14:paraId="2D752A8A" w14:textId="77777777" w:rsidR="00FA150F" w:rsidRDefault="00FA150F" w:rsidP="00FA150F">
      <w:pPr>
        <w:pStyle w:val="Funotentext"/>
        <w:rPr>
          <w:rFonts w:ascii="Verdana" w:hAnsi="Verdana"/>
          <w:sz w:val="16"/>
          <w:szCs w:val="16"/>
          <w:lang w:val="en-US"/>
        </w:rPr>
      </w:pPr>
      <w:r w:rsidRPr="001C6C80">
        <w:rPr>
          <w:rStyle w:val="Funotenzeichen"/>
          <w:rFonts w:ascii="Verdana" w:hAnsi="Verdana"/>
          <w:sz w:val="16"/>
          <w:szCs w:val="16"/>
        </w:rPr>
        <w:footnoteRef/>
      </w:r>
      <w:r w:rsidRPr="00FA6D1E">
        <w:rPr>
          <w:rFonts w:ascii="Verdana" w:hAnsi="Verdana"/>
          <w:sz w:val="16"/>
          <w:szCs w:val="16"/>
          <w:lang w:val="en-US"/>
        </w:rPr>
        <w:t xml:space="preserve"> </w:t>
      </w:r>
      <w:bookmarkStart w:id="3" w:name="_Hlk190265192"/>
      <w:r w:rsidRPr="00FA6D1E">
        <w:rPr>
          <w:rFonts w:ascii="Verdana" w:hAnsi="Verdana"/>
          <w:sz w:val="16"/>
          <w:szCs w:val="16"/>
          <w:lang w:val="en-US"/>
        </w:rPr>
        <w:t xml:space="preserve">Veröffentlichung Science Advances, Commonwealth Scientific and Industrial Research </w:t>
      </w:r>
    </w:p>
    <w:p w14:paraId="02EDC3AF" w14:textId="77777777" w:rsidR="00FA150F" w:rsidRPr="006872EC" w:rsidRDefault="00FA150F" w:rsidP="00FA150F">
      <w:pPr>
        <w:pStyle w:val="Funotentext"/>
        <w:rPr>
          <w:rFonts w:ascii="Verdana" w:hAnsi="Verdana"/>
          <w:sz w:val="16"/>
          <w:szCs w:val="16"/>
          <w:lang w:val="en-US"/>
        </w:rPr>
      </w:pPr>
      <w:r>
        <w:rPr>
          <w:rFonts w:ascii="Verdana" w:hAnsi="Verdana"/>
          <w:sz w:val="16"/>
          <w:szCs w:val="16"/>
          <w:lang w:val="en-US"/>
        </w:rPr>
        <w:t xml:space="preserve">  </w:t>
      </w:r>
      <w:r w:rsidRPr="00FA6D1E">
        <w:rPr>
          <w:rFonts w:ascii="Verdana" w:hAnsi="Verdana"/>
          <w:sz w:val="16"/>
          <w:szCs w:val="16"/>
          <w:lang w:val="en-US"/>
        </w:rPr>
        <w:t>Organisation (CSIRO), Publikation „</w:t>
      </w:r>
      <w:proofErr w:type="gramStart"/>
      <w:r w:rsidRPr="00FA6D1E">
        <w:rPr>
          <w:rFonts w:ascii="Verdana" w:hAnsi="Verdana"/>
          <w:sz w:val="16"/>
          <w:szCs w:val="16"/>
          <w:lang w:val="en-US"/>
        </w:rPr>
        <w:t>GEO“</w:t>
      </w:r>
      <w:proofErr w:type="gramEnd"/>
      <w:r w:rsidRPr="00FA6D1E">
        <w:rPr>
          <w:rFonts w:ascii="Verdana" w:hAnsi="Verdana"/>
          <w:sz w:val="16"/>
          <w:szCs w:val="16"/>
          <w:lang w:val="en-US"/>
        </w:rPr>
        <w:t xml:space="preserve"> 14.10.2022</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F76457D"/>
    <w:multiLevelType w:val="hybridMultilevel"/>
    <w:tmpl w:val="A6967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2"/>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 w:numId="23" w16cid:durableId="576296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7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1BB8"/>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57DD9"/>
    <w:rsid w:val="00260D33"/>
    <w:rsid w:val="00262E2F"/>
    <w:rsid w:val="00264873"/>
    <w:rsid w:val="002811E3"/>
    <w:rsid w:val="00282D89"/>
    <w:rsid w:val="00294F9C"/>
    <w:rsid w:val="0029639E"/>
    <w:rsid w:val="002A20B1"/>
    <w:rsid w:val="002A42AD"/>
    <w:rsid w:val="002B03A6"/>
    <w:rsid w:val="002C245C"/>
    <w:rsid w:val="002C2991"/>
    <w:rsid w:val="002C2D7B"/>
    <w:rsid w:val="002C5F75"/>
    <w:rsid w:val="002C7679"/>
    <w:rsid w:val="002D359E"/>
    <w:rsid w:val="002D6932"/>
    <w:rsid w:val="002E1FC0"/>
    <w:rsid w:val="002E26FC"/>
    <w:rsid w:val="002E5396"/>
    <w:rsid w:val="0030000A"/>
    <w:rsid w:val="00306DFA"/>
    <w:rsid w:val="00314FED"/>
    <w:rsid w:val="003161B7"/>
    <w:rsid w:val="00317C13"/>
    <w:rsid w:val="0032440F"/>
    <w:rsid w:val="00327024"/>
    <w:rsid w:val="00331776"/>
    <w:rsid w:val="00335AFC"/>
    <w:rsid w:val="003532A6"/>
    <w:rsid w:val="00354570"/>
    <w:rsid w:val="00356085"/>
    <w:rsid w:val="0036204B"/>
    <w:rsid w:val="003647E7"/>
    <w:rsid w:val="0036519C"/>
    <w:rsid w:val="00365B30"/>
    <w:rsid w:val="003677E7"/>
    <w:rsid w:val="00372231"/>
    <w:rsid w:val="00372C03"/>
    <w:rsid w:val="003732E7"/>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7F42"/>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36242"/>
    <w:rsid w:val="00840D41"/>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8F502E"/>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1BDA"/>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2AE4"/>
    <w:rsid w:val="00D33385"/>
    <w:rsid w:val="00D335DB"/>
    <w:rsid w:val="00D350C4"/>
    <w:rsid w:val="00D352A8"/>
    <w:rsid w:val="00D35527"/>
    <w:rsid w:val="00D35C16"/>
    <w:rsid w:val="00D4322D"/>
    <w:rsid w:val="00D43268"/>
    <w:rsid w:val="00D5583B"/>
    <w:rsid w:val="00D56A9A"/>
    <w:rsid w:val="00D61DCA"/>
    <w:rsid w:val="00D63566"/>
    <w:rsid w:val="00D703E1"/>
    <w:rsid w:val="00D70D3D"/>
    <w:rsid w:val="00D84F85"/>
    <w:rsid w:val="00D873B9"/>
    <w:rsid w:val="00D91084"/>
    <w:rsid w:val="00DA17FB"/>
    <w:rsid w:val="00DA366E"/>
    <w:rsid w:val="00DA54EC"/>
    <w:rsid w:val="00DC2648"/>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1C15"/>
    <w:rsid w:val="00EC4C88"/>
    <w:rsid w:val="00EC62B6"/>
    <w:rsid w:val="00ED1D7C"/>
    <w:rsid w:val="00ED6DCB"/>
    <w:rsid w:val="00EE18BE"/>
    <w:rsid w:val="00EE4D85"/>
    <w:rsid w:val="00EE7F6F"/>
    <w:rsid w:val="00F01E04"/>
    <w:rsid w:val="00F02AD5"/>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150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D413C"/>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D703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03E1"/>
    <w:rPr>
      <w:sz w:val="20"/>
      <w:szCs w:val="20"/>
    </w:rPr>
  </w:style>
  <w:style w:type="character" w:styleId="Funotenzeichen">
    <w:name w:val="footnote reference"/>
    <w:basedOn w:val="Absatz-Standardschriftart"/>
    <w:uiPriority w:val="99"/>
    <w:semiHidden/>
    <w:unhideWhenUsed/>
    <w:rsid w:val="00D70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9</cp:revision>
  <cp:lastPrinted>2021-04-09T09:59:00Z</cp:lastPrinted>
  <dcterms:created xsi:type="dcterms:W3CDTF">2025-03-03T14:29:00Z</dcterms:created>
  <dcterms:modified xsi:type="dcterms:W3CDTF">2025-03-04T16:27:00Z</dcterms:modified>
</cp:coreProperties>
</file>